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0935" w14:textId="77777777" w:rsidR="00757212" w:rsidRDefault="00757212" w:rsidP="00757212">
      <w:pPr>
        <w:pBdr>
          <w:top w:val="double" w:sz="12" w:space="1" w:color="2F5496" w:themeColor="accent1" w:themeShade="BF"/>
          <w:left w:val="double" w:sz="12" w:space="4" w:color="2F5496" w:themeColor="accent1" w:themeShade="BF"/>
          <w:bottom w:val="double" w:sz="12" w:space="1" w:color="2F5496" w:themeColor="accent1" w:themeShade="BF"/>
          <w:right w:val="double" w:sz="12" w:space="4" w:color="2F5496" w:themeColor="accent1" w:themeShade="BF"/>
        </w:pBdr>
        <w:jc w:val="center"/>
        <w:rPr>
          <w:rFonts w:ascii="Arial" w:hAnsi="Arial" w:cs="Arial"/>
          <w:b/>
          <w:bCs/>
          <w:i/>
          <w:iCs/>
          <w:sz w:val="24"/>
          <w:szCs w:val="24"/>
        </w:rPr>
      </w:pPr>
    </w:p>
    <w:p w14:paraId="79494FD0" w14:textId="3C5E6059" w:rsidR="00624621" w:rsidRPr="00757212" w:rsidRDefault="00624621" w:rsidP="00757212">
      <w:pPr>
        <w:pBdr>
          <w:top w:val="double" w:sz="12" w:space="1" w:color="2F5496" w:themeColor="accent1" w:themeShade="BF"/>
          <w:left w:val="double" w:sz="12" w:space="4" w:color="2F5496" w:themeColor="accent1" w:themeShade="BF"/>
          <w:bottom w:val="double" w:sz="12" w:space="1" w:color="2F5496" w:themeColor="accent1" w:themeShade="BF"/>
          <w:right w:val="double" w:sz="12" w:space="4" w:color="2F5496" w:themeColor="accent1" w:themeShade="BF"/>
        </w:pBdr>
        <w:jc w:val="center"/>
        <w:rPr>
          <w:rFonts w:ascii="Arial" w:hAnsi="Arial" w:cs="Arial"/>
          <w:b/>
          <w:bCs/>
          <w:i/>
          <w:iCs/>
          <w:sz w:val="24"/>
          <w:szCs w:val="24"/>
        </w:rPr>
      </w:pPr>
      <w:r w:rsidRPr="00757212">
        <w:rPr>
          <w:rFonts w:ascii="Arial" w:hAnsi="Arial" w:cs="Arial"/>
          <w:b/>
          <w:bCs/>
          <w:i/>
          <w:iCs/>
          <w:sz w:val="24"/>
          <w:szCs w:val="24"/>
        </w:rPr>
        <w:t>Racing Regulations Act 2004 (Tas), s 54B(2)(a)</w:t>
      </w:r>
    </w:p>
    <w:p w14:paraId="6FB2F343" w14:textId="2B0615DA" w:rsidR="00624621" w:rsidRPr="00757212" w:rsidRDefault="00624621" w:rsidP="00757212">
      <w:pPr>
        <w:pBdr>
          <w:top w:val="double" w:sz="12" w:space="1" w:color="2F5496" w:themeColor="accent1" w:themeShade="BF"/>
          <w:left w:val="double" w:sz="12" w:space="4" w:color="2F5496" w:themeColor="accent1" w:themeShade="BF"/>
          <w:bottom w:val="double" w:sz="12" w:space="1" w:color="2F5496" w:themeColor="accent1" w:themeShade="BF"/>
          <w:right w:val="double" w:sz="12" w:space="4" w:color="2F5496" w:themeColor="accent1" w:themeShade="BF"/>
        </w:pBdr>
        <w:jc w:val="center"/>
        <w:rPr>
          <w:rFonts w:ascii="Arial" w:hAnsi="Arial" w:cs="Arial"/>
          <w:b/>
          <w:bCs/>
          <w:sz w:val="36"/>
          <w:szCs w:val="36"/>
        </w:rPr>
      </w:pPr>
      <w:r w:rsidRPr="00757212">
        <w:rPr>
          <w:rFonts w:ascii="Arial" w:hAnsi="Arial" w:cs="Arial"/>
          <w:b/>
          <w:bCs/>
          <w:sz w:val="36"/>
          <w:szCs w:val="36"/>
        </w:rPr>
        <w:t>INTEGRITY CONDITIONS</w:t>
      </w:r>
    </w:p>
    <w:p w14:paraId="304A5BB0" w14:textId="08A4E5B0" w:rsidR="00624621" w:rsidRDefault="00624621" w:rsidP="00757212">
      <w:pPr>
        <w:pBdr>
          <w:top w:val="double" w:sz="12" w:space="1" w:color="2F5496" w:themeColor="accent1" w:themeShade="BF"/>
          <w:left w:val="double" w:sz="12" w:space="4" w:color="2F5496" w:themeColor="accent1" w:themeShade="BF"/>
          <w:bottom w:val="double" w:sz="12" w:space="1" w:color="2F5496" w:themeColor="accent1" w:themeShade="BF"/>
          <w:right w:val="double" w:sz="12" w:space="4" w:color="2F5496" w:themeColor="accent1" w:themeShade="BF"/>
        </w:pBdr>
        <w:jc w:val="center"/>
        <w:rPr>
          <w:rFonts w:ascii="Arial" w:hAnsi="Arial" w:cs="Arial"/>
          <w:b/>
          <w:bCs/>
          <w:sz w:val="24"/>
          <w:szCs w:val="24"/>
        </w:rPr>
      </w:pPr>
      <w:r w:rsidRPr="00757212">
        <w:rPr>
          <w:rFonts w:ascii="Arial" w:hAnsi="Arial" w:cs="Arial"/>
          <w:b/>
          <w:bCs/>
          <w:sz w:val="24"/>
          <w:szCs w:val="24"/>
        </w:rPr>
        <w:t>As at July 2019</w:t>
      </w:r>
    </w:p>
    <w:p w14:paraId="390C4397" w14:textId="77777777" w:rsidR="00757212" w:rsidRPr="00757212" w:rsidRDefault="00757212" w:rsidP="00757212">
      <w:pPr>
        <w:pBdr>
          <w:top w:val="double" w:sz="12" w:space="1" w:color="2F5496" w:themeColor="accent1" w:themeShade="BF"/>
          <w:left w:val="double" w:sz="12" w:space="4" w:color="2F5496" w:themeColor="accent1" w:themeShade="BF"/>
          <w:bottom w:val="double" w:sz="12" w:space="1" w:color="2F5496" w:themeColor="accent1" w:themeShade="BF"/>
          <w:right w:val="double" w:sz="12" w:space="4" w:color="2F5496" w:themeColor="accent1" w:themeShade="BF"/>
        </w:pBdr>
        <w:jc w:val="center"/>
        <w:rPr>
          <w:rFonts w:ascii="Arial" w:hAnsi="Arial" w:cs="Arial"/>
          <w:b/>
          <w:bCs/>
          <w:sz w:val="24"/>
          <w:szCs w:val="24"/>
        </w:rPr>
      </w:pPr>
    </w:p>
    <w:p w14:paraId="0E084E99" w14:textId="109095ED" w:rsidR="00624621" w:rsidRPr="00757212" w:rsidRDefault="00624621" w:rsidP="00624621">
      <w:pPr>
        <w:pStyle w:val="NoSpacing"/>
        <w:rPr>
          <w:rFonts w:ascii="Arial" w:hAnsi="Arial" w:cs="Arial"/>
        </w:rPr>
      </w:pPr>
      <w:bookmarkStart w:id="0" w:name="_GoBack"/>
      <w:bookmarkEnd w:id="0"/>
    </w:p>
    <w:p w14:paraId="04578B3E" w14:textId="22BF54AF" w:rsidR="000A154A" w:rsidRPr="00757212" w:rsidRDefault="000A154A" w:rsidP="000A154A">
      <w:pPr>
        <w:rPr>
          <w:rFonts w:ascii="Arial" w:hAnsi="Arial" w:cs="Arial"/>
          <w:color w:val="000000"/>
        </w:rPr>
      </w:pPr>
      <w:r w:rsidRPr="00757212">
        <w:rPr>
          <w:rFonts w:ascii="Arial" w:hAnsi="Arial" w:cs="Arial"/>
          <w:color w:val="000000"/>
        </w:rPr>
        <w:t xml:space="preserve">For the purposes of </w:t>
      </w:r>
      <w:hyperlink r:id="rId5" w:anchor="GS54B@Gs2@Hpa@EN" w:history="1">
        <w:r w:rsidRPr="00757212">
          <w:rPr>
            <w:rStyle w:val="Hyperlink"/>
            <w:rFonts w:ascii="Arial" w:hAnsi="Arial" w:cs="Arial"/>
            <w:color w:val="0076BD"/>
            <w:u w:val="none"/>
          </w:rPr>
          <w:t>section 54B(2)(a)</w:t>
        </w:r>
      </w:hyperlink>
      <w:r w:rsidRPr="00757212">
        <w:rPr>
          <w:rFonts w:ascii="Arial" w:hAnsi="Arial" w:cs="Arial"/>
          <w:color w:val="000000"/>
        </w:rPr>
        <w:t xml:space="preserve"> of the Act, conditions relating to the preservation of the integrity and reputation of the relevant kind of racing in Tasmania including, but not limited to, the following conditions are prescribed as permissible conditions:</w:t>
      </w:r>
      <w:bookmarkStart w:id="1" w:name="GS4@Gs1@Hpa@EN"/>
      <w:bookmarkEnd w:id="1"/>
    </w:p>
    <w:p w14:paraId="049229EF" w14:textId="77777777" w:rsidR="000A154A" w:rsidRPr="00757212" w:rsidRDefault="000A154A" w:rsidP="000A154A">
      <w:pPr>
        <w:pStyle w:val="ListParagraph"/>
        <w:rPr>
          <w:rFonts w:ascii="Arial" w:hAnsi="Arial" w:cs="Arial"/>
          <w:lang w:eastAsia="en-AU"/>
        </w:rPr>
      </w:pPr>
    </w:p>
    <w:p w14:paraId="25A4ECE3" w14:textId="43207F7B" w:rsidR="00E751DC" w:rsidRPr="00757212" w:rsidRDefault="000A154A" w:rsidP="00E751DC">
      <w:pPr>
        <w:pStyle w:val="ListParagraph"/>
        <w:numPr>
          <w:ilvl w:val="0"/>
          <w:numId w:val="3"/>
        </w:numPr>
        <w:rPr>
          <w:rFonts w:ascii="Arial" w:hAnsi="Arial" w:cs="Arial"/>
          <w:color w:val="000000"/>
        </w:rPr>
      </w:pPr>
      <w:r w:rsidRPr="00757212">
        <w:rPr>
          <w:rFonts w:ascii="Arial" w:hAnsi="Arial" w:cs="Arial"/>
          <w:color w:val="000000"/>
        </w:rPr>
        <w:t>requiring the approval holder to provide the Director with access to all the approval holder's betting information and analyses in relation to the race field information covered by the approval;</w:t>
      </w:r>
      <w:bookmarkStart w:id="2" w:name="GS4@Gs1@Hpb@EN"/>
      <w:bookmarkEnd w:id="2"/>
    </w:p>
    <w:p w14:paraId="50C7624E" w14:textId="77777777" w:rsidR="00E751DC" w:rsidRPr="00757212" w:rsidRDefault="00E751DC" w:rsidP="00E751DC">
      <w:pPr>
        <w:pStyle w:val="ListParagraph"/>
        <w:ind w:left="1080"/>
        <w:rPr>
          <w:rFonts w:ascii="Arial" w:hAnsi="Arial" w:cs="Arial"/>
          <w:color w:val="000000"/>
        </w:rPr>
      </w:pPr>
    </w:p>
    <w:p w14:paraId="53DE45FC" w14:textId="77777777" w:rsidR="00E751DC" w:rsidRPr="00757212" w:rsidRDefault="000A154A" w:rsidP="00E751DC">
      <w:pPr>
        <w:pStyle w:val="ListParagraph"/>
        <w:numPr>
          <w:ilvl w:val="0"/>
          <w:numId w:val="3"/>
        </w:numPr>
        <w:rPr>
          <w:rFonts w:ascii="Arial" w:hAnsi="Arial" w:cs="Arial"/>
          <w:color w:val="000000"/>
        </w:rPr>
      </w:pPr>
      <w:r w:rsidRPr="00757212">
        <w:rPr>
          <w:rFonts w:ascii="Arial" w:hAnsi="Arial" w:cs="Arial"/>
          <w:color w:val="000000"/>
        </w:rPr>
        <w:t>requiring the approval holder to furnish information to any inquiry or investigation specified by the Director within the time specified by the Director;</w:t>
      </w:r>
      <w:bookmarkStart w:id="3" w:name="GS4@Gs1@Hpc@EN"/>
      <w:bookmarkEnd w:id="3"/>
    </w:p>
    <w:p w14:paraId="112FC77D" w14:textId="77777777" w:rsidR="00E751DC" w:rsidRPr="00757212" w:rsidRDefault="00E751DC" w:rsidP="00E751DC">
      <w:pPr>
        <w:pStyle w:val="ListParagraph"/>
        <w:rPr>
          <w:rFonts w:ascii="Arial" w:hAnsi="Arial" w:cs="Arial"/>
          <w:color w:val="000000"/>
        </w:rPr>
      </w:pPr>
    </w:p>
    <w:p w14:paraId="74EDCCAB" w14:textId="77777777" w:rsidR="00B24333" w:rsidRPr="00757212" w:rsidRDefault="000A154A" w:rsidP="00B24333">
      <w:pPr>
        <w:pStyle w:val="ListParagraph"/>
        <w:numPr>
          <w:ilvl w:val="0"/>
          <w:numId w:val="3"/>
        </w:numPr>
        <w:rPr>
          <w:rFonts w:ascii="Arial" w:hAnsi="Arial" w:cs="Arial"/>
          <w:color w:val="000000"/>
        </w:rPr>
      </w:pPr>
      <w:r w:rsidRPr="00757212">
        <w:rPr>
          <w:rFonts w:ascii="Arial" w:hAnsi="Arial" w:cs="Arial"/>
          <w:color w:val="000000"/>
        </w:rPr>
        <w:t>requiring the approval holder to cooperate with any inquiry or investigation specified by the Director, including by providing requested details of any betting account to the inquiry or investigation;</w:t>
      </w:r>
      <w:bookmarkStart w:id="4" w:name="GS4@Gs1@Hpd@EN"/>
      <w:bookmarkEnd w:id="4"/>
    </w:p>
    <w:p w14:paraId="61D1AE16" w14:textId="77777777" w:rsidR="00B24333" w:rsidRPr="00757212" w:rsidRDefault="00B24333" w:rsidP="00B24333">
      <w:pPr>
        <w:pStyle w:val="ListParagraph"/>
        <w:rPr>
          <w:rFonts w:ascii="Arial" w:hAnsi="Arial" w:cs="Arial"/>
          <w:color w:val="000000"/>
        </w:rPr>
      </w:pPr>
    </w:p>
    <w:p w14:paraId="6A641FFF" w14:textId="77777777" w:rsidR="00B24333" w:rsidRPr="00757212" w:rsidRDefault="000A154A" w:rsidP="00B24333">
      <w:pPr>
        <w:pStyle w:val="ListParagraph"/>
        <w:numPr>
          <w:ilvl w:val="0"/>
          <w:numId w:val="3"/>
        </w:numPr>
        <w:rPr>
          <w:rFonts w:ascii="Arial" w:hAnsi="Arial" w:cs="Arial"/>
          <w:color w:val="000000"/>
        </w:rPr>
      </w:pPr>
      <w:r w:rsidRPr="00757212">
        <w:rPr>
          <w:rFonts w:ascii="Arial" w:hAnsi="Arial" w:cs="Arial"/>
          <w:color w:val="000000"/>
        </w:rPr>
        <w:t>requiring the approval holder to permit the Director to monitor wagering activity that relates to the race field information covered by the approval;</w:t>
      </w:r>
      <w:bookmarkStart w:id="5" w:name="GS4@Gs1@Hpe@EN"/>
      <w:bookmarkEnd w:id="5"/>
    </w:p>
    <w:p w14:paraId="1E2C5C65" w14:textId="77777777" w:rsidR="00B24333" w:rsidRPr="00757212" w:rsidRDefault="00B24333" w:rsidP="00B24333">
      <w:pPr>
        <w:pStyle w:val="ListParagraph"/>
        <w:rPr>
          <w:rFonts w:ascii="Arial" w:hAnsi="Arial" w:cs="Arial"/>
          <w:color w:val="000000"/>
        </w:rPr>
      </w:pPr>
    </w:p>
    <w:p w14:paraId="7EA8FC43" w14:textId="77777777" w:rsidR="00B24333" w:rsidRPr="00757212" w:rsidRDefault="000A154A" w:rsidP="00B24333">
      <w:pPr>
        <w:pStyle w:val="ListParagraph"/>
        <w:numPr>
          <w:ilvl w:val="0"/>
          <w:numId w:val="3"/>
        </w:numPr>
        <w:rPr>
          <w:rFonts w:ascii="Arial" w:hAnsi="Arial" w:cs="Arial"/>
          <w:color w:val="000000"/>
        </w:rPr>
      </w:pPr>
      <w:r w:rsidRPr="00757212">
        <w:rPr>
          <w:rFonts w:ascii="Arial" w:hAnsi="Arial" w:cs="Arial"/>
          <w:color w:val="000000"/>
        </w:rPr>
        <w:t>requiring the approval holder not to open or maintain any account for a person who is the subject of a warning-off notice issued by a specified body, registered club, steward or the Director or who is disqualified from participating in any racing activities by a specified body, steward or the Director;</w:t>
      </w:r>
      <w:bookmarkStart w:id="6" w:name="GS4@Gs1@Hpf@EN"/>
      <w:bookmarkEnd w:id="6"/>
    </w:p>
    <w:p w14:paraId="33E2933F" w14:textId="77777777" w:rsidR="00B24333" w:rsidRPr="00757212" w:rsidRDefault="00B24333" w:rsidP="00B24333">
      <w:pPr>
        <w:pStyle w:val="ListParagraph"/>
        <w:rPr>
          <w:rFonts w:ascii="Arial" w:hAnsi="Arial" w:cs="Arial"/>
          <w:color w:val="000000"/>
        </w:rPr>
      </w:pPr>
    </w:p>
    <w:p w14:paraId="37D2BC0A" w14:textId="77777777" w:rsidR="00B24333" w:rsidRPr="00757212" w:rsidRDefault="000A154A" w:rsidP="00B24333">
      <w:pPr>
        <w:pStyle w:val="ListParagraph"/>
        <w:numPr>
          <w:ilvl w:val="0"/>
          <w:numId w:val="3"/>
        </w:numPr>
        <w:rPr>
          <w:rFonts w:ascii="Arial" w:hAnsi="Arial" w:cs="Arial"/>
          <w:color w:val="000000"/>
        </w:rPr>
      </w:pPr>
      <w:r w:rsidRPr="00757212">
        <w:rPr>
          <w:rFonts w:ascii="Arial" w:hAnsi="Arial" w:cs="Arial"/>
          <w:color w:val="000000"/>
        </w:rPr>
        <w:t xml:space="preserve">requiring the approval holder to require any person who opens a wagering account with the approval holder to prove their identity in accordance with standards </w:t>
      </w:r>
      <w:proofErr w:type="gramStart"/>
      <w:r w:rsidRPr="00757212">
        <w:rPr>
          <w:rFonts w:ascii="Arial" w:hAnsi="Arial" w:cs="Arial"/>
          <w:color w:val="000000"/>
        </w:rPr>
        <w:t>sufficient</w:t>
      </w:r>
      <w:proofErr w:type="gramEnd"/>
      <w:r w:rsidRPr="00757212">
        <w:rPr>
          <w:rFonts w:ascii="Arial" w:hAnsi="Arial" w:cs="Arial"/>
          <w:color w:val="000000"/>
        </w:rPr>
        <w:t xml:space="preserve"> to comply with the prescribed verification procedure pursuant to the </w:t>
      </w:r>
      <w:r w:rsidRPr="00757212">
        <w:rPr>
          <w:rFonts w:ascii="Arial" w:hAnsi="Arial" w:cs="Arial"/>
          <w:i/>
          <w:iCs/>
          <w:color w:val="000000"/>
        </w:rPr>
        <w:t>Anti-Money Laundering and Counter-Terrorism Financing Act 2006</w:t>
      </w:r>
      <w:r w:rsidRPr="00757212">
        <w:rPr>
          <w:rFonts w:ascii="Arial" w:hAnsi="Arial" w:cs="Arial"/>
          <w:color w:val="000000"/>
        </w:rPr>
        <w:t xml:space="preserve"> of the Commonwealth;</w:t>
      </w:r>
      <w:bookmarkStart w:id="7" w:name="GS4@Gs1@Hpg@EN"/>
      <w:bookmarkEnd w:id="7"/>
    </w:p>
    <w:p w14:paraId="2A84AADE" w14:textId="77777777" w:rsidR="00B24333" w:rsidRPr="00757212" w:rsidRDefault="00B24333" w:rsidP="00B24333">
      <w:pPr>
        <w:pStyle w:val="ListParagraph"/>
        <w:rPr>
          <w:rFonts w:ascii="Arial" w:hAnsi="Arial" w:cs="Arial"/>
          <w:color w:val="000000"/>
        </w:rPr>
      </w:pPr>
    </w:p>
    <w:p w14:paraId="4F50EF58" w14:textId="77777777" w:rsidR="00B24333" w:rsidRPr="00757212" w:rsidRDefault="000A154A" w:rsidP="00B24333">
      <w:pPr>
        <w:pStyle w:val="ListParagraph"/>
        <w:numPr>
          <w:ilvl w:val="0"/>
          <w:numId w:val="3"/>
        </w:numPr>
        <w:rPr>
          <w:rFonts w:ascii="Arial" w:hAnsi="Arial" w:cs="Arial"/>
          <w:color w:val="000000"/>
        </w:rPr>
      </w:pPr>
      <w:r w:rsidRPr="00757212">
        <w:rPr>
          <w:rFonts w:ascii="Arial" w:hAnsi="Arial" w:cs="Arial"/>
          <w:color w:val="000000"/>
        </w:rPr>
        <w:t>requiring the approval holder to use a secure computer system, or other system approved by the Director, for the approval holder's wagering operations to ensure that a proper audit trail of all wagers is kept;</w:t>
      </w:r>
      <w:bookmarkStart w:id="8" w:name="GS4@Gs1@Hph@EN"/>
      <w:bookmarkEnd w:id="8"/>
    </w:p>
    <w:p w14:paraId="6EFAF395" w14:textId="77777777" w:rsidR="00B24333" w:rsidRPr="00757212" w:rsidRDefault="00B24333" w:rsidP="00B24333">
      <w:pPr>
        <w:pStyle w:val="ListParagraph"/>
        <w:rPr>
          <w:rFonts w:ascii="Arial" w:hAnsi="Arial" w:cs="Arial"/>
          <w:color w:val="000000"/>
        </w:rPr>
      </w:pPr>
    </w:p>
    <w:p w14:paraId="63E9309D" w14:textId="77777777" w:rsidR="00B24333" w:rsidRPr="00757212" w:rsidRDefault="000A154A" w:rsidP="00B24333">
      <w:pPr>
        <w:pStyle w:val="ListParagraph"/>
        <w:numPr>
          <w:ilvl w:val="0"/>
          <w:numId w:val="3"/>
        </w:numPr>
        <w:rPr>
          <w:rFonts w:ascii="Arial" w:hAnsi="Arial" w:cs="Arial"/>
          <w:color w:val="000000"/>
        </w:rPr>
      </w:pPr>
      <w:r w:rsidRPr="00757212">
        <w:rPr>
          <w:rFonts w:ascii="Arial" w:hAnsi="Arial" w:cs="Arial"/>
          <w:color w:val="000000"/>
        </w:rPr>
        <w:t xml:space="preserve">requiring the approval holder to participate, where the approval holder </w:t>
      </w:r>
      <w:proofErr w:type="gramStart"/>
      <w:r w:rsidRPr="00757212">
        <w:rPr>
          <w:rFonts w:ascii="Arial" w:hAnsi="Arial" w:cs="Arial"/>
          <w:color w:val="000000"/>
        </w:rPr>
        <w:t>is able to</w:t>
      </w:r>
      <w:proofErr w:type="gramEnd"/>
      <w:r w:rsidRPr="00757212">
        <w:rPr>
          <w:rFonts w:ascii="Arial" w:hAnsi="Arial" w:cs="Arial"/>
          <w:color w:val="000000"/>
        </w:rPr>
        <w:t xml:space="preserve"> do so, in any online wagering monitoring system specified by the Director;</w:t>
      </w:r>
      <w:bookmarkStart w:id="9" w:name="GS4@Gs1@Hpi@EN"/>
      <w:bookmarkEnd w:id="9"/>
    </w:p>
    <w:p w14:paraId="03FAF12C" w14:textId="77777777" w:rsidR="00B24333" w:rsidRPr="00757212" w:rsidRDefault="00B24333" w:rsidP="00B24333">
      <w:pPr>
        <w:pStyle w:val="ListParagraph"/>
        <w:rPr>
          <w:rFonts w:ascii="Arial" w:hAnsi="Arial" w:cs="Arial"/>
          <w:color w:val="000000"/>
        </w:rPr>
      </w:pPr>
    </w:p>
    <w:p w14:paraId="445C9D84" w14:textId="77777777" w:rsidR="00B24333" w:rsidRPr="00757212" w:rsidRDefault="000A154A" w:rsidP="00B24333">
      <w:pPr>
        <w:pStyle w:val="ListParagraph"/>
        <w:numPr>
          <w:ilvl w:val="0"/>
          <w:numId w:val="3"/>
        </w:numPr>
        <w:rPr>
          <w:rFonts w:ascii="Arial" w:hAnsi="Arial" w:cs="Arial"/>
          <w:color w:val="000000"/>
        </w:rPr>
      </w:pPr>
      <w:r w:rsidRPr="00757212">
        <w:rPr>
          <w:rFonts w:ascii="Arial" w:hAnsi="Arial" w:cs="Arial"/>
          <w:color w:val="000000"/>
        </w:rPr>
        <w:t>if the approval holder conducts wagering operations, in Australia or in a country outside Australia, requiring the approval holder to hold (and continue to hold) an appropriate licence or authority (however described) under relevant State or Territory legislation or legislation of that country outside Australia that authorises it to carry out those wagering operations;</w:t>
      </w:r>
      <w:bookmarkStart w:id="10" w:name="GS4@Gs1@Hpj@EN"/>
      <w:bookmarkEnd w:id="10"/>
    </w:p>
    <w:p w14:paraId="30139E0E" w14:textId="77777777" w:rsidR="00B24333" w:rsidRPr="00757212" w:rsidRDefault="00B24333" w:rsidP="00B24333">
      <w:pPr>
        <w:pStyle w:val="ListParagraph"/>
        <w:rPr>
          <w:rFonts w:ascii="Arial" w:hAnsi="Arial" w:cs="Arial"/>
          <w:color w:val="000000"/>
        </w:rPr>
      </w:pPr>
    </w:p>
    <w:p w14:paraId="1D2674C3" w14:textId="57A92F83" w:rsidR="00D9741F" w:rsidRPr="00757212" w:rsidRDefault="000A154A" w:rsidP="00757212">
      <w:pPr>
        <w:pStyle w:val="ListParagraph"/>
        <w:numPr>
          <w:ilvl w:val="0"/>
          <w:numId w:val="3"/>
        </w:numPr>
        <w:rPr>
          <w:rFonts w:ascii="Arial" w:hAnsi="Arial" w:cs="Arial"/>
          <w:color w:val="000000"/>
        </w:rPr>
      </w:pPr>
      <w:r w:rsidRPr="00757212">
        <w:rPr>
          <w:rFonts w:ascii="Arial" w:hAnsi="Arial" w:cs="Arial"/>
          <w:color w:val="000000"/>
        </w:rPr>
        <w:t>requiring the approval holder to notify the Director immediately on the commencement, in Tasmania or elsewhere, of any prosecution or disciplinary action against the approval holder under any racing-related legislation, rules of racing or rules of betting.</w:t>
      </w:r>
    </w:p>
    <w:sectPr w:rsidR="00D9741F" w:rsidRPr="00757212" w:rsidSect="00B24333">
      <w:pgSz w:w="11906" w:h="16838"/>
      <w:pgMar w:top="1077"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E6C4D"/>
    <w:multiLevelType w:val="hybridMultilevel"/>
    <w:tmpl w:val="AF3E581C"/>
    <w:lvl w:ilvl="0" w:tplc="0F34B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D0018D"/>
    <w:multiLevelType w:val="hybridMultilevel"/>
    <w:tmpl w:val="C6F42D56"/>
    <w:lvl w:ilvl="0" w:tplc="4B78B1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EB970D5"/>
    <w:multiLevelType w:val="hybridMultilevel"/>
    <w:tmpl w:val="CBF620B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4A"/>
    <w:rsid w:val="000A154A"/>
    <w:rsid w:val="00624621"/>
    <w:rsid w:val="00757212"/>
    <w:rsid w:val="00B24333"/>
    <w:rsid w:val="00D85166"/>
    <w:rsid w:val="00E751DC"/>
    <w:rsid w:val="00FB2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A13"/>
  <w15:chartTrackingRefBased/>
  <w15:docId w15:val="{6A487993-061A-4921-905E-77ECD85F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DC"/>
  </w:style>
  <w:style w:type="paragraph" w:styleId="Heading1">
    <w:name w:val="heading 1"/>
    <w:basedOn w:val="Normal"/>
    <w:next w:val="Normal"/>
    <w:link w:val="Heading1Char"/>
    <w:uiPriority w:val="9"/>
    <w:qFormat/>
    <w:rsid w:val="00E751D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751D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751D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751D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751D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751D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751D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751D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751D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54A"/>
    <w:rPr>
      <w:color w:val="0563C1"/>
      <w:u w:val="single"/>
    </w:rPr>
  </w:style>
  <w:style w:type="paragraph" w:styleId="ListParagraph">
    <w:name w:val="List Paragraph"/>
    <w:basedOn w:val="Normal"/>
    <w:uiPriority w:val="34"/>
    <w:qFormat/>
    <w:rsid w:val="000A154A"/>
    <w:pPr>
      <w:ind w:left="720"/>
      <w:contextualSpacing/>
    </w:pPr>
  </w:style>
  <w:style w:type="character" w:customStyle="1" w:styleId="Heading1Char">
    <w:name w:val="Heading 1 Char"/>
    <w:basedOn w:val="DefaultParagraphFont"/>
    <w:link w:val="Heading1"/>
    <w:uiPriority w:val="9"/>
    <w:rsid w:val="00E751D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751D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751D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751D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751D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751D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751DC"/>
    <w:rPr>
      <w:i/>
      <w:iCs/>
    </w:rPr>
  </w:style>
  <w:style w:type="character" w:customStyle="1" w:styleId="Heading8Char">
    <w:name w:val="Heading 8 Char"/>
    <w:basedOn w:val="DefaultParagraphFont"/>
    <w:link w:val="Heading8"/>
    <w:uiPriority w:val="9"/>
    <w:semiHidden/>
    <w:rsid w:val="00E751DC"/>
    <w:rPr>
      <w:b/>
      <w:bCs/>
    </w:rPr>
  </w:style>
  <w:style w:type="character" w:customStyle="1" w:styleId="Heading9Char">
    <w:name w:val="Heading 9 Char"/>
    <w:basedOn w:val="DefaultParagraphFont"/>
    <w:link w:val="Heading9"/>
    <w:uiPriority w:val="9"/>
    <w:semiHidden/>
    <w:rsid w:val="00E751DC"/>
    <w:rPr>
      <w:i/>
      <w:iCs/>
    </w:rPr>
  </w:style>
  <w:style w:type="paragraph" w:styleId="Caption">
    <w:name w:val="caption"/>
    <w:basedOn w:val="Normal"/>
    <w:next w:val="Normal"/>
    <w:uiPriority w:val="35"/>
    <w:semiHidden/>
    <w:unhideWhenUsed/>
    <w:qFormat/>
    <w:rsid w:val="00E751DC"/>
    <w:rPr>
      <w:b/>
      <w:bCs/>
      <w:sz w:val="18"/>
      <w:szCs w:val="18"/>
    </w:rPr>
  </w:style>
  <w:style w:type="paragraph" w:styleId="Title">
    <w:name w:val="Title"/>
    <w:basedOn w:val="Normal"/>
    <w:next w:val="Normal"/>
    <w:link w:val="TitleChar"/>
    <w:uiPriority w:val="10"/>
    <w:qFormat/>
    <w:rsid w:val="00E751D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751D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751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51DC"/>
    <w:rPr>
      <w:rFonts w:asciiTheme="majorHAnsi" w:eastAsiaTheme="majorEastAsia" w:hAnsiTheme="majorHAnsi" w:cstheme="majorBidi"/>
      <w:sz w:val="24"/>
      <w:szCs w:val="24"/>
    </w:rPr>
  </w:style>
  <w:style w:type="character" w:styleId="Strong">
    <w:name w:val="Strong"/>
    <w:basedOn w:val="DefaultParagraphFont"/>
    <w:uiPriority w:val="22"/>
    <w:qFormat/>
    <w:rsid w:val="00E751DC"/>
    <w:rPr>
      <w:b/>
      <w:bCs/>
      <w:color w:val="auto"/>
    </w:rPr>
  </w:style>
  <w:style w:type="character" w:styleId="Emphasis">
    <w:name w:val="Emphasis"/>
    <w:basedOn w:val="DefaultParagraphFont"/>
    <w:uiPriority w:val="20"/>
    <w:qFormat/>
    <w:rsid w:val="00E751DC"/>
    <w:rPr>
      <w:i/>
      <w:iCs/>
      <w:color w:val="auto"/>
    </w:rPr>
  </w:style>
  <w:style w:type="paragraph" w:styleId="NoSpacing">
    <w:name w:val="No Spacing"/>
    <w:uiPriority w:val="1"/>
    <w:qFormat/>
    <w:rsid w:val="00E751DC"/>
    <w:pPr>
      <w:spacing w:after="0" w:line="240" w:lineRule="auto"/>
    </w:pPr>
  </w:style>
  <w:style w:type="paragraph" w:styleId="Quote">
    <w:name w:val="Quote"/>
    <w:basedOn w:val="Normal"/>
    <w:next w:val="Normal"/>
    <w:link w:val="QuoteChar"/>
    <w:uiPriority w:val="29"/>
    <w:qFormat/>
    <w:rsid w:val="00E751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751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751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751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751DC"/>
    <w:rPr>
      <w:i/>
      <w:iCs/>
      <w:color w:val="auto"/>
    </w:rPr>
  </w:style>
  <w:style w:type="character" w:styleId="IntenseEmphasis">
    <w:name w:val="Intense Emphasis"/>
    <w:basedOn w:val="DefaultParagraphFont"/>
    <w:uiPriority w:val="21"/>
    <w:qFormat/>
    <w:rsid w:val="00E751DC"/>
    <w:rPr>
      <w:b/>
      <w:bCs/>
      <w:i/>
      <w:iCs/>
      <w:color w:val="auto"/>
    </w:rPr>
  </w:style>
  <w:style w:type="character" w:styleId="SubtleReference">
    <w:name w:val="Subtle Reference"/>
    <w:basedOn w:val="DefaultParagraphFont"/>
    <w:uiPriority w:val="31"/>
    <w:qFormat/>
    <w:rsid w:val="00E751DC"/>
    <w:rPr>
      <w:smallCaps/>
      <w:color w:val="auto"/>
      <w:u w:val="single" w:color="7F7F7F" w:themeColor="text1" w:themeTint="80"/>
    </w:rPr>
  </w:style>
  <w:style w:type="character" w:styleId="IntenseReference">
    <w:name w:val="Intense Reference"/>
    <w:basedOn w:val="DefaultParagraphFont"/>
    <w:uiPriority w:val="32"/>
    <w:qFormat/>
    <w:rsid w:val="00E751DC"/>
    <w:rPr>
      <w:b/>
      <w:bCs/>
      <w:smallCaps/>
      <w:color w:val="auto"/>
      <w:u w:val="single"/>
    </w:rPr>
  </w:style>
  <w:style w:type="character" w:styleId="BookTitle">
    <w:name w:val="Book Title"/>
    <w:basedOn w:val="DefaultParagraphFont"/>
    <w:uiPriority w:val="33"/>
    <w:qFormat/>
    <w:rsid w:val="00E751DC"/>
    <w:rPr>
      <w:b/>
      <w:bCs/>
      <w:smallCaps/>
      <w:color w:val="auto"/>
    </w:rPr>
  </w:style>
  <w:style w:type="paragraph" w:styleId="TOCHeading">
    <w:name w:val="TOC Heading"/>
    <w:basedOn w:val="Heading1"/>
    <w:next w:val="Normal"/>
    <w:uiPriority w:val="39"/>
    <w:semiHidden/>
    <w:unhideWhenUsed/>
    <w:qFormat/>
    <w:rsid w:val="00E751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tas.gov.au/view/html/inforce/2019-07-01/act-2004-0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Shiralee Maher</dc:creator>
  <cp:keywords/>
  <dc:description/>
  <cp:lastModifiedBy>Shiralee Maher</cp:lastModifiedBy>
  <cp:revision>1</cp:revision>
  <dcterms:created xsi:type="dcterms:W3CDTF">2019-08-22T00:25:00Z</dcterms:created>
  <dcterms:modified xsi:type="dcterms:W3CDTF">2019-08-22T01:09:00Z</dcterms:modified>
</cp:coreProperties>
</file>